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</w:pPr>
      <w:r>
        <w:fldChar w:fldCharType="begin"/>
      </w:r>
      <w:r>
        <w:instrText xml:space="preserve"> HYPERLINK "https://goodeurope.unileon.es/" </w:instrText>
      </w:r>
      <w:r>
        <w:fldChar w:fldCharType="separate"/>
      </w:r>
      <w:r>
        <w:rPr>
          <w:rStyle w:val="Hipervnculo"/>
        </w:rPr>
        <w:t>goodeurope.unileon.es</w:t>
      </w:r>
      <w:r>
        <w:fldChar w:fldCharType="end"/>
      </w:r>
    </w:p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</w:rPr>
      </w:pPr>
      <w:r w:rsidRPr="005C6981">
        <w:rPr>
          <w:color w:val="2F5496"/>
          <w:sz w:val="28"/>
          <w:szCs w:val="28"/>
        </w:rPr>
        <w:t>Políticas educativas y sociales para una Europa del bien común</w:t>
      </w:r>
    </w:p>
    <w:p w:rsidR="00F33AAA" w:rsidRPr="00F33AAA" w:rsidRDefault="00F33AA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  <w:lang w:val="en-AU"/>
        </w:rPr>
      </w:pPr>
      <w:r w:rsidRPr="00F33AAA">
        <w:rPr>
          <w:rFonts w:cs="Arial"/>
          <w:sz w:val="18"/>
          <w:szCs w:val="16"/>
          <w:lang w:val="en-AU"/>
        </w:rPr>
        <w:t>Educational and Social Policies for a Europe of the Common Good</w:t>
      </w:r>
    </w:p>
    <w:p w:rsidR="00364F5C" w:rsidRDefault="008926C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7F7F7F"/>
        </w:rPr>
      </w:pPr>
      <w:r>
        <w:rPr>
          <w:color w:val="7F7F7F"/>
        </w:rPr>
        <w:t>Programa Jean Monnet de la Comisión Europea</w:t>
      </w:r>
    </w:p>
    <w:p w:rsidR="00364F5C" w:rsidRDefault="00364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</w:rPr>
      </w:pPr>
    </w:p>
    <w:p w:rsidR="00801DF0" w:rsidRPr="00801DF0" w:rsidRDefault="00801DF0" w:rsidP="00801DF0">
      <w:pPr>
        <w:pStyle w:val="Standard"/>
        <w:jc w:val="both"/>
        <w:rPr>
          <w:rFonts w:ascii="Verdana" w:hAnsi="Verdana"/>
          <w:b/>
          <w:sz w:val="28"/>
          <w:szCs w:val="28"/>
        </w:rPr>
      </w:pPr>
      <w:r w:rsidRPr="00801DF0">
        <w:rPr>
          <w:rFonts w:ascii="Verdana" w:hAnsi="Verdana"/>
          <w:b/>
          <w:sz w:val="28"/>
          <w:szCs w:val="28"/>
        </w:rPr>
        <w:t>Guía de lectura</w:t>
      </w:r>
    </w:p>
    <w:p w:rsidR="00801DF0" w:rsidRPr="00801DF0" w:rsidRDefault="00801DF0" w:rsidP="00801DF0">
      <w:pPr>
        <w:pStyle w:val="Standard"/>
        <w:jc w:val="both"/>
        <w:rPr>
          <w:rFonts w:ascii="Verdana" w:hAnsi="Verdana"/>
          <w:b/>
          <w:sz w:val="28"/>
          <w:szCs w:val="28"/>
        </w:rPr>
      </w:pPr>
      <w:r w:rsidRPr="00801DF0">
        <w:rPr>
          <w:rFonts w:ascii="Verdana" w:hAnsi="Verdana"/>
          <w:b/>
          <w:sz w:val="28"/>
          <w:szCs w:val="28"/>
        </w:rPr>
        <w:t xml:space="preserve">Reading </w:t>
      </w:r>
      <w:proofErr w:type="spellStart"/>
      <w:r w:rsidRPr="00801DF0">
        <w:rPr>
          <w:rFonts w:ascii="Verdana" w:hAnsi="Verdana"/>
          <w:b/>
          <w:sz w:val="28"/>
          <w:szCs w:val="28"/>
        </w:rPr>
        <w:t>Guide</w:t>
      </w:r>
      <w:proofErr w:type="spellEnd"/>
    </w:p>
    <w:tbl>
      <w:tblPr>
        <w:tblW w:w="977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95"/>
        <w:gridCol w:w="5179"/>
        <w:gridCol w:w="851"/>
        <w:gridCol w:w="852"/>
      </w:tblGrid>
      <w:tr w:rsidR="00801DF0" w:rsidTr="00010E96">
        <w:tc>
          <w:tcPr>
            <w:tcW w:w="2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rPr>
                <w:rFonts w:ascii="Verdana" w:hAnsi="Verdana"/>
                <w:b/>
                <w:sz w:val="18"/>
                <w:szCs w:val="20"/>
              </w:rPr>
            </w:pPr>
            <w:r>
              <w:rPr>
                <w:rFonts w:ascii="Verdana" w:hAnsi="Verdana"/>
                <w:b/>
                <w:sz w:val="18"/>
                <w:szCs w:val="20"/>
              </w:rPr>
              <w:t>Seminario</w:t>
            </w:r>
          </w:p>
        </w:tc>
        <w:tc>
          <w:tcPr>
            <w:tcW w:w="5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Ttulo5"/>
              <w:spacing w:before="60" w:after="0" w:line="240" w:lineRule="auto"/>
              <w:rPr>
                <w:rFonts w:ascii="Verdana" w:hAnsi="Verdana"/>
                <w:color w:val="2B2B2B"/>
              </w:rPr>
            </w:pPr>
            <w:r w:rsidRPr="00BE0B85">
              <w:rPr>
                <w:rFonts w:ascii="Verdana" w:hAnsi="Verdana"/>
                <w:color w:val="2B2B2B"/>
              </w:rPr>
              <w:t>Fenómenos migratorios en Europa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jc w:val="center"/>
              <w:rPr>
                <w:rFonts w:ascii="Verdana" w:hAnsi="Verdana"/>
                <w:b/>
                <w:sz w:val="18"/>
                <w:szCs w:val="20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20"/>
              </w:rPr>
              <w:t>Nº</w:t>
            </w:r>
            <w:proofErr w:type="spellEnd"/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107788" w:rsidP="00010E96">
            <w:pPr>
              <w:pStyle w:val="Standard"/>
              <w:spacing w:before="60"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</w:tr>
      <w:tr w:rsidR="00801DF0" w:rsidRPr="00107788" w:rsidTr="00010E96">
        <w:tc>
          <w:tcPr>
            <w:tcW w:w="2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rPr>
                <w:rFonts w:ascii="Verdana" w:hAnsi="Verdana"/>
                <w:b/>
                <w:sz w:val="18"/>
                <w:szCs w:val="20"/>
              </w:rPr>
            </w:pPr>
            <w:r>
              <w:rPr>
                <w:rFonts w:ascii="Verdana" w:hAnsi="Verdana"/>
                <w:b/>
                <w:sz w:val="18"/>
                <w:szCs w:val="20"/>
              </w:rPr>
              <w:t>Lecturas</w:t>
            </w:r>
          </w:p>
        </w:tc>
        <w:tc>
          <w:tcPr>
            <w:tcW w:w="688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Pr="00BE0B85" w:rsidRDefault="00801DF0" w:rsidP="00010E96">
            <w:pPr>
              <w:autoSpaceDE w:val="0"/>
              <w:adjustRightInd w:val="0"/>
              <w:spacing w:after="0" w:line="240" w:lineRule="auto"/>
              <w:rPr>
                <w:rFonts w:ascii="AdvPAC5A" w:hAnsi="AdvPAC5A" w:cs="AdvPAC5A"/>
                <w:sz w:val="32"/>
                <w:szCs w:val="32"/>
                <w:lang w:val="en-AU"/>
              </w:rPr>
            </w:pPr>
            <w:r w:rsidRPr="00BE0B85">
              <w:rPr>
                <w:lang w:val="en-AU"/>
              </w:rPr>
              <w:t xml:space="preserve"> </w:t>
            </w:r>
            <w:r>
              <w:rPr>
                <w:rFonts w:ascii="AdvPAC5A" w:hAnsi="AdvPAC5A" w:cs="AdvPAC5A"/>
                <w:sz w:val="32"/>
                <w:szCs w:val="32"/>
                <w:lang w:val="en-AU"/>
              </w:rPr>
              <w:t xml:space="preserve">Migration strategies of crisis-stricken youth in an </w:t>
            </w:r>
            <w:r w:rsidRPr="00BE0B85">
              <w:rPr>
                <w:rFonts w:ascii="AdvPAC5A" w:hAnsi="AdvPAC5A" w:cs="AdvPAC5A"/>
                <w:sz w:val="32"/>
                <w:szCs w:val="32"/>
                <w:lang w:val="en-AU"/>
              </w:rPr>
              <w:t>enlarged European Union</w:t>
            </w:r>
          </w:p>
        </w:tc>
        <w:bookmarkStart w:id="0" w:name="_GoBack"/>
        <w:bookmarkEnd w:id="0"/>
      </w:tr>
      <w:tr w:rsidR="00801DF0" w:rsidTr="00010E96">
        <w:tc>
          <w:tcPr>
            <w:tcW w:w="2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rPr>
                <w:rFonts w:ascii="Verdana" w:hAnsi="Verdana"/>
                <w:b/>
                <w:sz w:val="18"/>
                <w:szCs w:val="20"/>
              </w:rPr>
            </w:pPr>
            <w:r>
              <w:rPr>
                <w:rFonts w:ascii="Verdana" w:hAnsi="Verdana"/>
                <w:b/>
                <w:sz w:val="18"/>
                <w:szCs w:val="20"/>
              </w:rPr>
              <w:t>Tema central del texto leído</w:t>
            </w:r>
          </w:p>
        </w:tc>
        <w:tc>
          <w:tcPr>
            <w:tcW w:w="688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113" w:after="113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Las políticas europeas en la gestión de los procesos migratorios</w:t>
            </w:r>
          </w:p>
        </w:tc>
      </w:tr>
      <w:tr w:rsidR="00801DF0" w:rsidTr="00010E96">
        <w:tc>
          <w:tcPr>
            <w:tcW w:w="97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rPr>
                <w:rFonts w:ascii="Verdana" w:hAnsi="Verdana"/>
                <w:b/>
                <w:sz w:val="18"/>
                <w:szCs w:val="20"/>
              </w:rPr>
            </w:pPr>
            <w:r>
              <w:rPr>
                <w:rFonts w:ascii="Verdana" w:hAnsi="Verdana"/>
                <w:b/>
                <w:sz w:val="18"/>
                <w:szCs w:val="20"/>
              </w:rPr>
              <w:t>Preguntas para la reflexión</w:t>
            </w:r>
          </w:p>
        </w:tc>
      </w:tr>
      <w:tr w:rsidR="00801DF0" w:rsidTr="00010E96">
        <w:tc>
          <w:tcPr>
            <w:tcW w:w="2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r w:rsidRPr="00C36D17">
              <w:t xml:space="preserve">¿Por qué casi siempre pensamos que la migración es mayor de lo que </w:t>
            </w:r>
            <w:r>
              <w:t>realmente es?</w:t>
            </w:r>
          </w:p>
        </w:tc>
        <w:tc>
          <w:tcPr>
            <w:tcW w:w="688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801DF0" w:rsidTr="00010E96">
        <w:tc>
          <w:tcPr>
            <w:tcW w:w="2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r w:rsidRPr="00C36D17">
              <w:t xml:space="preserve">¿Por qué casi siempre </w:t>
            </w:r>
            <w:r>
              <w:t>se piensa</w:t>
            </w:r>
            <w:r w:rsidRPr="00C36D17">
              <w:t xml:space="preserve"> q</w:t>
            </w:r>
            <w:r>
              <w:t>ue la migración es un problema?</w:t>
            </w:r>
          </w:p>
        </w:tc>
        <w:tc>
          <w:tcPr>
            <w:tcW w:w="688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801DF0" w:rsidTr="00010E96">
        <w:tc>
          <w:tcPr>
            <w:tcW w:w="2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57" w:after="57" w:line="240" w:lineRule="auto"/>
            </w:pPr>
            <w:r w:rsidRPr="00C36D17">
              <w:t>¿Tiene la educación (</w:t>
            </w:r>
            <w:r>
              <w:t xml:space="preserve">y </w:t>
            </w:r>
            <w:r w:rsidRPr="00C36D17">
              <w:t xml:space="preserve">especialmente la </w:t>
            </w:r>
            <w:r>
              <w:t>formación universitaria</w:t>
            </w:r>
            <w:r w:rsidRPr="00C36D17">
              <w:t xml:space="preserve">) un papel </w:t>
            </w:r>
            <w:r>
              <w:t xml:space="preserve">importante </w:t>
            </w:r>
            <w:r w:rsidRPr="00C36D17">
              <w:t xml:space="preserve">que desempeñar en la </w:t>
            </w:r>
            <w:r>
              <w:t>manera</w:t>
            </w:r>
            <w:r w:rsidRPr="00C36D17">
              <w:t xml:space="preserve"> en que abordamos la migración?</w:t>
            </w:r>
          </w:p>
        </w:tc>
        <w:tc>
          <w:tcPr>
            <w:tcW w:w="688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801DF0" w:rsidTr="00010E96">
        <w:tc>
          <w:tcPr>
            <w:tcW w:w="2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r w:rsidRPr="00C36D17">
              <w:t xml:space="preserve">¿Qué </w:t>
            </w:r>
            <w:r>
              <w:t>pueden</w:t>
            </w:r>
            <w:r w:rsidRPr="00C36D17">
              <w:t xml:space="preserve"> hacer las instituciones de educación superior para abordar el aumento del populismo</w:t>
            </w:r>
            <w:r>
              <w:t xml:space="preserve"> autoritario y la xenofobia?</w:t>
            </w:r>
          </w:p>
        </w:tc>
        <w:tc>
          <w:tcPr>
            <w:tcW w:w="688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801DF0" w:rsidTr="00010E96">
        <w:tc>
          <w:tcPr>
            <w:tcW w:w="2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r w:rsidRPr="00C36D17">
              <w:t>¿</w:t>
            </w:r>
            <w:r>
              <w:t>Qué cambios y qué reformas habría que incluir en la formación universitaria para pensar los procesos migratorios actuales</w:t>
            </w:r>
            <w:r w:rsidRPr="00C36D17">
              <w:t>?</w:t>
            </w:r>
          </w:p>
        </w:tc>
        <w:tc>
          <w:tcPr>
            <w:tcW w:w="688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DF0" w:rsidRDefault="00801DF0" w:rsidP="00010E96">
            <w:pPr>
              <w:pStyle w:val="Standard"/>
              <w:spacing w:before="60"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801DF0" w:rsidRDefault="00801DF0" w:rsidP="00801DF0">
      <w:pPr>
        <w:pStyle w:val="Standard"/>
      </w:pPr>
    </w:p>
    <w:p w:rsidR="00364F5C" w:rsidRDefault="00364F5C" w:rsidP="00801DF0"/>
    <w:sectPr w:rsidR="00364F5C">
      <w:headerReference w:type="default" r:id="rId7"/>
      <w:footerReference w:type="default" r:id="rId8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286C" w:rsidRDefault="00FC286C" w:rsidP="005C6981">
      <w:pPr>
        <w:spacing w:after="0" w:line="240" w:lineRule="auto"/>
      </w:pPr>
      <w:r>
        <w:separator/>
      </w:r>
    </w:p>
  </w:endnote>
  <w:endnote w:type="continuationSeparator" w:id="0">
    <w:p w:rsidR="00FC286C" w:rsidRDefault="00FC286C" w:rsidP="005C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vPAC5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81" w:rsidRDefault="005C6981" w:rsidP="005C698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286C" w:rsidRDefault="00FC286C" w:rsidP="005C6981">
      <w:pPr>
        <w:spacing w:after="0" w:line="240" w:lineRule="auto"/>
      </w:pPr>
      <w:r>
        <w:separator/>
      </w:r>
    </w:p>
  </w:footnote>
  <w:footnote w:type="continuationSeparator" w:id="0">
    <w:p w:rsidR="00FC286C" w:rsidRDefault="00FC286C" w:rsidP="005C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8B0F2AC21CE6495EA50B7888660FA2CB"/>
      </w:placeholder>
      <w:temporary/>
      <w:showingPlcHdr/>
      <w15:appearance w15:val="hidden"/>
    </w:sdtPr>
    <w:sdtEndPr/>
    <w:sdtContent>
      <w:p w:rsidR="005C6981" w:rsidRDefault="005C6981">
        <w:pPr>
          <w:pStyle w:val="Encabezado"/>
        </w:pPr>
        <w:r>
          <w:t>[Escriba aquí]</w:t>
        </w:r>
      </w:p>
    </w:sdtContent>
  </w:sdt>
  <w:p w:rsidR="005C6981" w:rsidRDefault="005C6981" w:rsidP="005C6981">
    <w:pPr>
      <w:pStyle w:val="Encabezado"/>
      <w:jc w:val="both"/>
    </w:pPr>
    <w:r>
      <w:rPr>
        <w:noProof/>
      </w:rPr>
      <w:drawing>
        <wp:inline distT="0" distB="0" distL="0" distR="0">
          <wp:extent cx="903784" cy="487680"/>
          <wp:effectExtent l="0" t="0" r="0" b="762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DEUROP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789" cy="498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>
          <wp:extent cx="1112520" cy="6889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o-universidad-de-leo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18" cy="70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</w:rPr>
      <w:drawing>
        <wp:inline distT="0" distB="0" distL="0" distR="0">
          <wp:extent cx="1634461" cy="342900"/>
          <wp:effectExtent l="0" t="0" r="444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 Cofinanciado por la Unión Europea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589" cy="361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E5446"/>
    <w:multiLevelType w:val="multilevel"/>
    <w:tmpl w:val="8B56D5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5C"/>
    <w:rsid w:val="00107788"/>
    <w:rsid w:val="00364F5C"/>
    <w:rsid w:val="0050189F"/>
    <w:rsid w:val="0058431C"/>
    <w:rsid w:val="005C6981"/>
    <w:rsid w:val="00801DF0"/>
    <w:rsid w:val="008926C7"/>
    <w:rsid w:val="008B26C9"/>
    <w:rsid w:val="00BC09AC"/>
    <w:rsid w:val="00D448BB"/>
    <w:rsid w:val="00E94C95"/>
    <w:rsid w:val="00EC2FA5"/>
    <w:rsid w:val="00F33AAA"/>
    <w:rsid w:val="00FC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1D7B2"/>
  <w15:docId w15:val="{0510C697-7FCF-4219-B785-73E9FE3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981"/>
  </w:style>
  <w:style w:type="paragraph" w:styleId="Piedepgina">
    <w:name w:val="footer"/>
    <w:basedOn w:val="Normal"/>
    <w:link w:val="Piedepgina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981"/>
  </w:style>
  <w:style w:type="character" w:styleId="Hipervnculo">
    <w:name w:val="Hyperlink"/>
    <w:basedOn w:val="Fuentedeprrafopredeter"/>
    <w:uiPriority w:val="99"/>
    <w:semiHidden/>
    <w:unhideWhenUsed/>
    <w:rsid w:val="005C6981"/>
    <w:rPr>
      <w:color w:val="0000FF"/>
      <w:u w:val="single"/>
    </w:rPr>
  </w:style>
  <w:style w:type="paragraph" w:customStyle="1" w:styleId="Standard">
    <w:name w:val="Standard"/>
    <w:rsid w:val="00801DF0"/>
    <w:pPr>
      <w:suppressAutoHyphens/>
      <w:autoSpaceDN w:val="0"/>
      <w:spacing w:line="259" w:lineRule="auto"/>
      <w:textAlignment w:val="baseline"/>
    </w:pPr>
    <w:rPr>
      <w:rFonts w:eastAsia="SimSun" w:cs="Tahoma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0F2AC21CE6495EA50B7888660F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FA4AB-0D1C-4BCC-B475-DE4DBD857F94}"/>
      </w:docPartPr>
      <w:docPartBody>
        <w:p w:rsidR="00C8445A" w:rsidRDefault="00B61C71" w:rsidP="00B61C71">
          <w:pPr>
            <w:pStyle w:val="8B0F2AC21CE6495EA50B7888660FA2CB"/>
          </w:pPr>
          <w: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vPAC5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71"/>
    <w:rsid w:val="00275ECF"/>
    <w:rsid w:val="002E4785"/>
    <w:rsid w:val="00956AD2"/>
    <w:rsid w:val="00B61C71"/>
    <w:rsid w:val="00C8445A"/>
    <w:rsid w:val="00CB1A94"/>
    <w:rsid w:val="00CD7542"/>
    <w:rsid w:val="00FE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0F2AC21CE6495EA50B7888660FA2CB">
    <w:name w:val="8B0F2AC21CE6495EA50B7888660FA2CB"/>
    <w:rsid w:val="00B61C71"/>
  </w:style>
  <w:style w:type="paragraph" w:customStyle="1" w:styleId="27F3A425432E4CBF9BC4F32357FC2470">
    <w:name w:val="27F3A425432E4CBF9BC4F32357FC2470"/>
    <w:rsid w:val="00B61C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JUAN RAMON RODRIGUEZ FERNANDEZ</cp:lastModifiedBy>
  <cp:revision>4</cp:revision>
  <dcterms:created xsi:type="dcterms:W3CDTF">2024-12-05T11:43:00Z</dcterms:created>
  <dcterms:modified xsi:type="dcterms:W3CDTF">2025-01-17T09:48:00Z</dcterms:modified>
</cp:coreProperties>
</file>