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6981" w:rsidRDefault="005C6981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before="60" w:after="60" w:line="240" w:lineRule="auto"/>
        <w:jc w:val="right"/>
      </w:pPr>
      <w:r>
        <w:fldChar w:fldCharType="begin"/>
      </w:r>
      <w:r>
        <w:instrText xml:space="preserve"> HYPERLINK "https://goodeurope.unileon.es/" </w:instrText>
      </w:r>
      <w:r>
        <w:fldChar w:fldCharType="separate"/>
      </w:r>
      <w:r>
        <w:rPr>
          <w:rStyle w:val="Hipervnculo"/>
        </w:rPr>
        <w:t>goodeurope.unileon.es</w:t>
      </w:r>
      <w:r>
        <w:fldChar w:fldCharType="end"/>
      </w:r>
    </w:p>
    <w:p w:rsidR="005C6981" w:rsidRDefault="005C6981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before="60" w:after="60" w:line="240" w:lineRule="auto"/>
        <w:jc w:val="right"/>
        <w:rPr>
          <w:color w:val="2F5496"/>
          <w:sz w:val="28"/>
          <w:szCs w:val="28"/>
        </w:rPr>
      </w:pPr>
      <w:r w:rsidRPr="005C6981">
        <w:rPr>
          <w:color w:val="2F5496"/>
          <w:sz w:val="28"/>
          <w:szCs w:val="28"/>
        </w:rPr>
        <w:t>Políticas educativas y sociales para una Europa del bien común</w:t>
      </w:r>
    </w:p>
    <w:p w:rsidR="00364F5C" w:rsidRDefault="008926C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before="60" w:after="60" w:line="240" w:lineRule="auto"/>
        <w:jc w:val="right"/>
        <w:rPr>
          <w:color w:val="7F7F7F"/>
        </w:rPr>
      </w:pPr>
      <w:r>
        <w:rPr>
          <w:color w:val="7F7F7F"/>
        </w:rPr>
        <w:t>Programa Jean Monnet de la Comisión Europea</w:t>
      </w:r>
    </w:p>
    <w:p w:rsidR="00364F5C" w:rsidRDefault="00364F5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rPr>
          <w:color w:val="000000"/>
        </w:rPr>
      </w:pPr>
    </w:p>
    <w:p w:rsidR="00364F5C" w:rsidRDefault="008926C7">
      <w:pPr>
        <w:rPr>
          <w:b/>
          <w:sz w:val="32"/>
          <w:szCs w:val="32"/>
        </w:rPr>
      </w:pPr>
      <w:r>
        <w:rPr>
          <w:b/>
          <w:sz w:val="32"/>
          <w:szCs w:val="32"/>
        </w:rPr>
        <w:t>Guía de lectura</w:t>
      </w:r>
    </w:p>
    <w:p w:rsidR="00364F5C" w:rsidRDefault="00364F5C">
      <w:pPr>
        <w:jc w:val="both"/>
        <w:rPr>
          <w:rFonts w:ascii="Verdana" w:eastAsia="Verdana" w:hAnsi="Verdana" w:cs="Verdana"/>
          <w:b/>
          <w:sz w:val="18"/>
          <w:szCs w:val="18"/>
        </w:rPr>
      </w:pPr>
    </w:p>
    <w:p w:rsidR="00364F5C" w:rsidRDefault="008926C7">
      <w:pPr>
        <w:jc w:val="both"/>
        <w:rPr>
          <w:rFonts w:ascii="Verdana" w:eastAsia="Verdana" w:hAnsi="Verdana" w:cs="Verdana"/>
          <w:b/>
          <w:sz w:val="18"/>
          <w:szCs w:val="18"/>
        </w:rPr>
      </w:pPr>
      <w:r>
        <w:rPr>
          <w:rFonts w:ascii="Verdana" w:eastAsia="Verdana" w:hAnsi="Verdana" w:cs="Verdana"/>
          <w:b/>
          <w:sz w:val="18"/>
          <w:szCs w:val="18"/>
        </w:rPr>
        <w:t>Nombre y apellidos del alumno/a:</w:t>
      </w:r>
    </w:p>
    <w:tbl>
      <w:tblPr>
        <w:tblStyle w:val="a"/>
        <w:tblW w:w="9777" w:type="dxa"/>
        <w:tblInd w:w="-21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000" w:firstRow="0" w:lastRow="0" w:firstColumn="0" w:lastColumn="0" w:noHBand="0" w:noVBand="0"/>
      </w:tblPr>
      <w:tblGrid>
        <w:gridCol w:w="2988"/>
        <w:gridCol w:w="5086"/>
        <w:gridCol w:w="851"/>
        <w:gridCol w:w="852"/>
      </w:tblGrid>
      <w:tr w:rsidR="00364F5C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364F5C" w:rsidRDefault="008926C7">
            <w:pPr>
              <w:spacing w:before="60" w:after="0" w:line="240" w:lineRule="auto"/>
              <w:rPr>
                <w:rFonts w:ascii="Verdana" w:eastAsia="Verdana" w:hAnsi="Verdana" w:cs="Verdana"/>
                <w:b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Seminario</w:t>
            </w:r>
          </w:p>
        </w:tc>
        <w:tc>
          <w:tcPr>
            <w:tcW w:w="50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vAlign w:val="center"/>
          </w:tcPr>
          <w:p w:rsidR="00364F5C" w:rsidRPr="004F3E6F" w:rsidRDefault="004F3E6F">
            <w:pPr>
              <w:numPr>
                <w:ilvl w:val="4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0"/>
                <w:tab w:val="center" w:pos="4252"/>
                <w:tab w:val="right" w:pos="8504"/>
              </w:tabs>
              <w:spacing w:before="60" w:line="240" w:lineRule="auto"/>
              <w:rPr>
                <w:rFonts w:ascii="Verdana" w:eastAsia="Verdana" w:hAnsi="Verdana" w:cs="Verdana"/>
                <w:color w:val="2B2B2B"/>
                <w:sz w:val="20"/>
                <w:szCs w:val="20"/>
              </w:rPr>
            </w:pPr>
            <w:r w:rsidRPr="004F3E6F">
              <w:rPr>
                <w:rFonts w:ascii="Verdana" w:eastAsia="Verdana" w:hAnsi="Verdana" w:cs="Verdana"/>
                <w:color w:val="2B2B2B"/>
                <w:sz w:val="20"/>
                <w:szCs w:val="20"/>
              </w:rPr>
              <w:t>Programas y Experiencias para la Inserción Sociolaboral de la juventud que ni estudia ni trabaja.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364F5C" w:rsidRDefault="008926C7">
            <w:pPr>
              <w:spacing w:before="60" w:after="0" w:line="240" w:lineRule="auto"/>
              <w:jc w:val="center"/>
              <w:rPr>
                <w:rFonts w:ascii="Verdana" w:eastAsia="Verdana" w:hAnsi="Verdana" w:cs="Verdana"/>
                <w:b/>
                <w:sz w:val="18"/>
                <w:szCs w:val="18"/>
              </w:rPr>
            </w:pPr>
            <w:proofErr w:type="spellStart"/>
            <w:r>
              <w:rPr>
                <w:rFonts w:ascii="Verdana" w:eastAsia="Verdana" w:hAnsi="Verdana" w:cs="Verdana"/>
                <w:b/>
                <w:sz w:val="18"/>
                <w:szCs w:val="18"/>
              </w:rPr>
              <w:t>Nº</w:t>
            </w:r>
            <w:proofErr w:type="spellEnd"/>
          </w:p>
        </w:tc>
        <w:tc>
          <w:tcPr>
            <w:tcW w:w="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vAlign w:val="center"/>
          </w:tcPr>
          <w:p w:rsidR="00364F5C" w:rsidRDefault="00364F5C">
            <w:pPr>
              <w:spacing w:before="60" w:after="0" w:line="240" w:lineRule="auto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</w:tr>
      <w:tr w:rsidR="00364F5C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364F5C" w:rsidRDefault="008926C7">
            <w:pPr>
              <w:spacing w:before="60" w:after="0" w:line="240" w:lineRule="auto"/>
              <w:rPr>
                <w:rFonts w:ascii="Verdana" w:eastAsia="Verdana" w:hAnsi="Verdana" w:cs="Verdana"/>
                <w:b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Lecturas</w:t>
            </w:r>
            <w:r w:rsidR="005C6981">
              <w:rPr>
                <w:rFonts w:ascii="Verdana" w:eastAsia="Verdana" w:hAnsi="Verdana" w:cs="Verdana"/>
                <w:b/>
                <w:sz w:val="18"/>
                <w:szCs w:val="18"/>
              </w:rPr>
              <w:t>/materiales</w:t>
            </w:r>
          </w:p>
        </w:tc>
        <w:tc>
          <w:tcPr>
            <w:tcW w:w="67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vAlign w:val="center"/>
          </w:tcPr>
          <w:p w:rsidR="004F3E6F" w:rsidRDefault="004F3E6F" w:rsidP="004F3E6F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589"/>
            </w:tblGrid>
            <w:tr w:rsidR="004F3E6F">
              <w:tblPrEx>
                <w:tblCellMar>
                  <w:top w:w="0" w:type="dxa"/>
                  <w:bottom w:w="0" w:type="dxa"/>
                </w:tblCellMar>
              </w:tblPrEx>
              <w:trPr>
                <w:trHeight w:val="4902"/>
              </w:trPr>
              <w:tc>
                <w:tcPr>
                  <w:tcW w:w="6589" w:type="dxa"/>
                </w:tcPr>
                <w:p w:rsidR="004F3E6F" w:rsidRDefault="004F3E6F" w:rsidP="004F3E6F">
                  <w:pPr>
                    <w:pStyle w:val="Default"/>
                    <w:rPr>
                      <w:sz w:val="18"/>
                      <w:szCs w:val="18"/>
                    </w:rPr>
                  </w:pPr>
                  <w:r>
                    <w:t xml:space="preserve"> </w:t>
                  </w:r>
                  <w:r>
                    <w:rPr>
                      <w:b/>
                      <w:bCs/>
                      <w:sz w:val="18"/>
                      <w:szCs w:val="18"/>
                    </w:rPr>
                    <w:t xml:space="preserve">Material Audiovisual: </w:t>
                  </w:r>
                </w:p>
                <w:p w:rsidR="004F3E6F" w:rsidRDefault="004F3E6F" w:rsidP="004F3E6F">
                  <w:pPr>
                    <w:pStyle w:val="Default"/>
                    <w:rPr>
                      <w:color w:val="0000FF"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 SISIS: </w:t>
                  </w:r>
                  <w:r>
                    <w:rPr>
                      <w:color w:val="0000FF"/>
                      <w:sz w:val="18"/>
                      <w:szCs w:val="18"/>
                    </w:rPr>
                    <w:t xml:space="preserve">https://www.youtube.com/watch?v=KF5NOKN2bR4 </w:t>
                  </w:r>
                </w:p>
                <w:p w:rsidR="004F3E6F" w:rsidRPr="004F3E6F" w:rsidRDefault="004F3E6F" w:rsidP="004F3E6F">
                  <w:pPr>
                    <w:pStyle w:val="Default"/>
                    <w:rPr>
                      <w:color w:val="0000FF"/>
                      <w:sz w:val="18"/>
                      <w:szCs w:val="18"/>
                      <w:lang w:val="en-AU"/>
                    </w:rPr>
                  </w:pPr>
                  <w:r>
                    <w:rPr>
                      <w:sz w:val="18"/>
                      <w:szCs w:val="18"/>
                    </w:rPr>
                    <w:t></w:t>
                  </w:r>
                  <w:r w:rsidRPr="004F3E6F">
                    <w:rPr>
                      <w:sz w:val="18"/>
                      <w:szCs w:val="18"/>
                      <w:lang w:val="en-AU"/>
                    </w:rPr>
                    <w:t xml:space="preserve"> NINIS: </w:t>
                  </w:r>
                  <w:r w:rsidRPr="004F3E6F">
                    <w:rPr>
                      <w:color w:val="0000FF"/>
                      <w:sz w:val="18"/>
                      <w:szCs w:val="18"/>
                      <w:lang w:val="en-AU"/>
                    </w:rPr>
                    <w:t xml:space="preserve">https://www.youtube.com/watch?v=zA38Fi96HRE </w:t>
                  </w:r>
                </w:p>
                <w:p w:rsidR="004F3E6F" w:rsidRDefault="004F3E6F" w:rsidP="004F3E6F">
                  <w:pPr>
                    <w:pStyle w:val="Default"/>
                    <w:rPr>
                      <w:color w:val="0000FF"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 JÓVENES, ¿Qué película les contamos hoy? </w:t>
                  </w:r>
                  <w:r>
                    <w:rPr>
                      <w:color w:val="0000FF"/>
                      <w:sz w:val="18"/>
                      <w:szCs w:val="18"/>
                    </w:rPr>
                    <w:t xml:space="preserve">https://www.youtube.com/watch?v=DLIxOmMKOsQ </w:t>
                  </w:r>
                </w:p>
                <w:p w:rsidR="004F3E6F" w:rsidRDefault="004F3E6F" w:rsidP="004F3E6F">
                  <w:pPr>
                    <w:pStyle w:val="Default"/>
                    <w:rPr>
                      <w:color w:val="0000FF"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 EXPERIENCIA DE JÓVENES NINI: </w:t>
                  </w:r>
                  <w:r>
                    <w:rPr>
                      <w:color w:val="0000FF"/>
                      <w:sz w:val="18"/>
                      <w:szCs w:val="18"/>
                    </w:rPr>
                    <w:t xml:space="preserve">https://www.youtube.com/watch?v=lOyIi7ypeHw </w:t>
                  </w:r>
                </w:p>
                <w:p w:rsidR="004F3E6F" w:rsidRDefault="004F3E6F" w:rsidP="004F3E6F">
                  <w:pPr>
                    <w:pStyle w:val="Default"/>
                    <w:rPr>
                      <w:color w:val="0000FF"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 GARANTÍA JUVENIL: </w:t>
                  </w:r>
                  <w:hyperlink r:id="rId7" w:history="1">
                    <w:r w:rsidRPr="000A1999">
                      <w:rPr>
                        <w:rStyle w:val="Hipervnculo"/>
                        <w:sz w:val="18"/>
                        <w:szCs w:val="18"/>
                      </w:rPr>
                      <w:t>https://www.youtube.com/watch?v=Nty68geQn9c</w:t>
                    </w:r>
                  </w:hyperlink>
                  <w:r>
                    <w:rPr>
                      <w:color w:val="0000FF"/>
                      <w:sz w:val="18"/>
                      <w:szCs w:val="18"/>
                    </w:rPr>
                    <w:t xml:space="preserve"> </w:t>
                  </w:r>
                  <w:r>
                    <w:rPr>
                      <w:color w:val="0000FF"/>
                      <w:sz w:val="18"/>
                      <w:szCs w:val="18"/>
                    </w:rPr>
                    <w:t xml:space="preserve"> </w:t>
                  </w:r>
                </w:p>
                <w:p w:rsidR="004F3E6F" w:rsidRDefault="004F3E6F" w:rsidP="004F3E6F">
                  <w:pPr>
                    <w:pStyle w:val="Default"/>
                    <w:rPr>
                      <w:color w:val="0000FF"/>
                      <w:sz w:val="18"/>
                      <w:szCs w:val="18"/>
                    </w:rPr>
                  </w:pPr>
                </w:p>
                <w:p w:rsidR="004F3E6F" w:rsidRDefault="004F3E6F" w:rsidP="004F3E6F">
                  <w:pPr>
                    <w:pStyle w:val="Default"/>
                    <w:rPr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 xml:space="preserve">Material lecturas: </w:t>
                  </w:r>
                </w:p>
                <w:p w:rsidR="004F3E6F" w:rsidRDefault="004F3E6F" w:rsidP="004F3E6F">
                  <w:pPr>
                    <w:pStyle w:val="Defaul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1. García-Fuentes, J., y Martínez García, J.S. (2020). Los jóvenes Ni-Ni: un estigma que invisibiliza los problemas sociales de la juventud. </w:t>
                  </w:r>
                  <w:r>
                    <w:rPr>
                      <w:i/>
                      <w:iCs/>
                      <w:sz w:val="18"/>
                      <w:szCs w:val="18"/>
                    </w:rPr>
                    <w:t>Archivos analíticos de Políticas Educativas</w:t>
                  </w:r>
                  <w:r>
                    <w:rPr>
                      <w:sz w:val="18"/>
                      <w:szCs w:val="18"/>
                    </w:rPr>
                    <w:t xml:space="preserve">, </w:t>
                  </w:r>
                  <w:r>
                    <w:rPr>
                      <w:i/>
                      <w:iCs/>
                      <w:sz w:val="18"/>
                      <w:szCs w:val="18"/>
                    </w:rPr>
                    <w:t>28</w:t>
                  </w:r>
                  <w:r>
                    <w:rPr>
                      <w:sz w:val="18"/>
                      <w:szCs w:val="18"/>
                    </w:rPr>
                    <w:t xml:space="preserve">(20), 1-25. </w:t>
                  </w:r>
                </w:p>
                <w:p w:rsidR="004F3E6F" w:rsidRDefault="004F3E6F" w:rsidP="004F3E6F">
                  <w:pPr>
                    <w:pStyle w:val="Default"/>
                    <w:rPr>
                      <w:color w:val="0000FF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 xml:space="preserve">Enlace: </w:t>
                  </w:r>
                  <w:hyperlink r:id="rId8" w:history="1">
                    <w:r w:rsidRPr="000A1999">
                      <w:rPr>
                        <w:rStyle w:val="Hipervnculo"/>
                        <w:sz w:val="18"/>
                        <w:szCs w:val="18"/>
                      </w:rPr>
                      <w:t>https://epaa.asu.edu/index.php/epaa/article/view/4652/2381</w:t>
                    </w:r>
                  </w:hyperlink>
                  <w:r>
                    <w:rPr>
                      <w:color w:val="0000FF"/>
                      <w:sz w:val="18"/>
                      <w:szCs w:val="18"/>
                    </w:rPr>
                    <w:t xml:space="preserve"> </w:t>
                  </w:r>
                  <w:r>
                    <w:rPr>
                      <w:color w:val="0000FF"/>
                      <w:sz w:val="18"/>
                      <w:szCs w:val="18"/>
                    </w:rPr>
                    <w:t xml:space="preserve"> </w:t>
                  </w:r>
                </w:p>
                <w:p w:rsidR="004F3E6F" w:rsidRDefault="004F3E6F" w:rsidP="004F3E6F">
                  <w:pPr>
                    <w:pStyle w:val="Default"/>
                    <w:rPr>
                      <w:color w:val="0000FF"/>
                      <w:sz w:val="18"/>
                      <w:szCs w:val="18"/>
                    </w:rPr>
                  </w:pPr>
                </w:p>
                <w:p w:rsidR="004F3E6F" w:rsidRDefault="004F3E6F" w:rsidP="004F3E6F">
                  <w:pPr>
                    <w:pStyle w:val="Defaul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2. González, F.A., y Rubio, A. (2017). La garantía juvenil como solución a la exclusión social de los jóvenes. </w:t>
                  </w:r>
                  <w:r>
                    <w:rPr>
                      <w:i/>
                      <w:iCs/>
                      <w:sz w:val="18"/>
                      <w:szCs w:val="18"/>
                    </w:rPr>
                    <w:t xml:space="preserve">Revista Internacional de Ciencias Sociales, </w:t>
                  </w:r>
                  <w:r>
                    <w:rPr>
                      <w:sz w:val="18"/>
                      <w:szCs w:val="18"/>
                    </w:rPr>
                    <w:t xml:space="preserve">36, 113-125. </w:t>
                  </w:r>
                </w:p>
                <w:p w:rsidR="004F3E6F" w:rsidRDefault="004F3E6F" w:rsidP="004F3E6F">
                  <w:pPr>
                    <w:pStyle w:val="Default"/>
                    <w:rPr>
                      <w:color w:val="0000FF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 xml:space="preserve">Enlace: </w:t>
                  </w:r>
                  <w:hyperlink r:id="rId9" w:history="1">
                    <w:r w:rsidRPr="000A1999">
                      <w:rPr>
                        <w:rStyle w:val="Hipervnculo"/>
                        <w:sz w:val="18"/>
                        <w:szCs w:val="18"/>
                      </w:rPr>
                      <w:t>https://revistas.um.es/areas/article/view/308101/217781</w:t>
                    </w:r>
                  </w:hyperlink>
                  <w:r>
                    <w:rPr>
                      <w:color w:val="0000FF"/>
                      <w:sz w:val="18"/>
                      <w:szCs w:val="18"/>
                    </w:rPr>
                    <w:t xml:space="preserve"> </w:t>
                  </w:r>
                  <w:r>
                    <w:rPr>
                      <w:color w:val="0000FF"/>
                      <w:sz w:val="18"/>
                      <w:szCs w:val="18"/>
                    </w:rPr>
                    <w:t xml:space="preserve"> </w:t>
                  </w:r>
                </w:p>
                <w:p w:rsidR="004F3E6F" w:rsidRDefault="004F3E6F" w:rsidP="004F3E6F">
                  <w:pPr>
                    <w:pStyle w:val="Default"/>
                    <w:rPr>
                      <w:color w:val="0000FF"/>
                      <w:sz w:val="18"/>
                      <w:szCs w:val="18"/>
                    </w:rPr>
                  </w:pPr>
                </w:p>
                <w:p w:rsidR="004F3E6F" w:rsidRDefault="004F3E6F" w:rsidP="004F3E6F">
                  <w:pPr>
                    <w:pStyle w:val="Defaul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3. Gabinete de Estudios Económicos de la Confederación Sindical de CC.OO. (2023). </w:t>
                  </w:r>
                  <w:r>
                    <w:rPr>
                      <w:i/>
                      <w:iCs/>
                      <w:sz w:val="18"/>
                      <w:szCs w:val="18"/>
                    </w:rPr>
                    <w:t>Radiografía socioeconómica del estado de la juventud en España: primero la precariedad, ahora la emancipación</w:t>
                  </w:r>
                  <w:r>
                    <w:rPr>
                      <w:sz w:val="18"/>
                      <w:szCs w:val="18"/>
                    </w:rPr>
                    <w:t xml:space="preserve">. INJUVE. </w:t>
                  </w:r>
                </w:p>
                <w:p w:rsidR="004F3E6F" w:rsidRDefault="004F3E6F" w:rsidP="004F3E6F">
                  <w:pPr>
                    <w:pStyle w:val="Default"/>
                    <w:rPr>
                      <w:color w:val="0000FF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 xml:space="preserve">Enlace: </w:t>
                  </w:r>
                  <w:hyperlink r:id="rId10" w:history="1">
                    <w:r w:rsidRPr="000A1999">
                      <w:rPr>
                        <w:rStyle w:val="Hipervnculo"/>
                        <w:sz w:val="18"/>
                        <w:szCs w:val="18"/>
                      </w:rPr>
                      <w:t>https://www.ccoo.es/0d5946985f8e8738f43384fea25cc44e000001.pdf</w:t>
                    </w:r>
                  </w:hyperlink>
                  <w:r>
                    <w:rPr>
                      <w:color w:val="0000FF"/>
                      <w:sz w:val="18"/>
                      <w:szCs w:val="18"/>
                    </w:rPr>
                    <w:t xml:space="preserve"> </w:t>
                  </w:r>
                  <w:r>
                    <w:rPr>
                      <w:color w:val="0000FF"/>
                      <w:sz w:val="18"/>
                      <w:szCs w:val="18"/>
                    </w:rPr>
                    <w:t xml:space="preserve"> </w:t>
                  </w:r>
                </w:p>
                <w:p w:rsidR="004F3E6F" w:rsidRDefault="004F3E6F" w:rsidP="004F3E6F">
                  <w:pPr>
                    <w:pStyle w:val="Default"/>
                    <w:rPr>
                      <w:color w:val="0000FF"/>
                      <w:sz w:val="18"/>
                      <w:szCs w:val="18"/>
                    </w:rPr>
                  </w:pPr>
                </w:p>
                <w:p w:rsidR="004F3E6F" w:rsidRDefault="004F3E6F" w:rsidP="004F3E6F">
                  <w:pPr>
                    <w:pStyle w:val="Defaul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4. Geijo, F. (2022). Menos “NINIS” y más “SISIS”. </w:t>
                  </w:r>
                  <w:r>
                    <w:rPr>
                      <w:i/>
                      <w:iCs/>
                      <w:sz w:val="18"/>
                      <w:szCs w:val="18"/>
                    </w:rPr>
                    <w:t xml:space="preserve">EP Escritura pública, </w:t>
                  </w:r>
                  <w:r>
                    <w:rPr>
                      <w:sz w:val="18"/>
                      <w:szCs w:val="18"/>
                    </w:rPr>
                    <w:t xml:space="preserve">138. </w:t>
                  </w:r>
                </w:p>
                <w:p w:rsidR="004F3E6F" w:rsidRDefault="004F3E6F" w:rsidP="004F3E6F">
                  <w:pPr>
                    <w:pStyle w:val="Default"/>
                    <w:rPr>
                      <w:color w:val="0000FF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 xml:space="preserve">Enlace noticia: </w:t>
                  </w:r>
                  <w:hyperlink r:id="rId11" w:history="1">
                    <w:r w:rsidRPr="000A1999">
                      <w:rPr>
                        <w:rStyle w:val="Hipervnculo"/>
                        <w:sz w:val="18"/>
                        <w:szCs w:val="18"/>
                      </w:rPr>
                      <w:t>https://escriturapublica.es/menos-ninis-y-mas-sisis/</w:t>
                    </w:r>
                  </w:hyperlink>
                  <w:r>
                    <w:rPr>
                      <w:color w:val="0000FF"/>
                      <w:sz w:val="18"/>
                      <w:szCs w:val="18"/>
                    </w:rPr>
                    <w:t xml:space="preserve"> </w:t>
                  </w:r>
                  <w:r>
                    <w:rPr>
                      <w:color w:val="0000FF"/>
                      <w:sz w:val="18"/>
                      <w:szCs w:val="18"/>
                    </w:rPr>
                    <w:t xml:space="preserve"> </w:t>
                  </w:r>
                </w:p>
                <w:p w:rsidR="004F3E6F" w:rsidRDefault="004F3E6F" w:rsidP="004F3E6F">
                  <w:pPr>
                    <w:pStyle w:val="Default"/>
                    <w:rPr>
                      <w:color w:val="0000FF"/>
                      <w:sz w:val="18"/>
                      <w:szCs w:val="18"/>
                    </w:rPr>
                  </w:pPr>
                </w:p>
                <w:p w:rsidR="004F3E6F" w:rsidRDefault="004F3E6F" w:rsidP="004F3E6F">
                  <w:pPr>
                    <w:pStyle w:val="Defaul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5. Torres, A. (25 de octubre de 2023). La OCDE alerta de que la difícil transición de los jóvenes a una vida adulta independiente lastra el potencial de España. </w:t>
                  </w:r>
                  <w:r>
                    <w:rPr>
                      <w:i/>
                      <w:iCs/>
                      <w:sz w:val="18"/>
                      <w:szCs w:val="18"/>
                    </w:rPr>
                    <w:t xml:space="preserve">EL PAIS. </w:t>
                  </w:r>
                </w:p>
                <w:p w:rsidR="004F3E6F" w:rsidRDefault="004F3E6F" w:rsidP="004F3E6F">
                  <w:pPr>
                    <w:pStyle w:val="Default"/>
                    <w:rPr>
                      <w:color w:val="0000FF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 xml:space="preserve">Enlace de la noticia: </w:t>
                  </w:r>
                  <w:hyperlink r:id="rId12" w:history="1">
                    <w:r w:rsidRPr="000A1999">
                      <w:rPr>
                        <w:rStyle w:val="Hipervnculo"/>
                        <w:sz w:val="18"/>
                        <w:szCs w:val="18"/>
                      </w:rPr>
                      <w:t>https://elpais.com/sociedad/2023-10-25/la-ocde-alerta-de-que-la-dificil-transicion-de-los-jovenes-a-una-vida-adulta-independiente-lastra-el-potencial-de-espana.html</w:t>
                    </w:r>
                  </w:hyperlink>
                  <w:r>
                    <w:rPr>
                      <w:color w:val="0000FF"/>
                      <w:sz w:val="18"/>
                      <w:szCs w:val="18"/>
                    </w:rPr>
                    <w:t xml:space="preserve"> </w:t>
                  </w:r>
                  <w:r>
                    <w:rPr>
                      <w:color w:val="0000FF"/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:rsidR="00364F5C" w:rsidRDefault="00364F5C"/>
        </w:tc>
      </w:tr>
      <w:tr w:rsidR="00364F5C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364F5C" w:rsidRDefault="008926C7">
            <w:pPr>
              <w:spacing w:before="60" w:after="0" w:line="240" w:lineRule="auto"/>
              <w:rPr>
                <w:rFonts w:ascii="Verdana" w:eastAsia="Verdana" w:hAnsi="Verdana" w:cs="Verdana"/>
                <w:b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Tema central del texto leído</w:t>
            </w:r>
          </w:p>
        </w:tc>
        <w:tc>
          <w:tcPr>
            <w:tcW w:w="67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364F5C" w:rsidRDefault="00364F5C">
            <w:pPr>
              <w:spacing w:before="60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4F3E6F" w:rsidRDefault="004F3E6F">
            <w:pPr>
              <w:spacing w:before="60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4F3E6F" w:rsidRDefault="004F3E6F">
            <w:pPr>
              <w:spacing w:before="60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4F3E6F" w:rsidRDefault="004F3E6F">
            <w:pPr>
              <w:spacing w:before="60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4F3E6F" w:rsidRDefault="004F3E6F">
            <w:pPr>
              <w:spacing w:before="60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364F5C">
        <w:tc>
          <w:tcPr>
            <w:tcW w:w="97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364F5C" w:rsidRDefault="008926C7">
            <w:pPr>
              <w:spacing w:before="60" w:after="0" w:line="240" w:lineRule="auto"/>
              <w:rPr>
                <w:rFonts w:ascii="Verdana" w:eastAsia="Verdana" w:hAnsi="Verdana" w:cs="Verdana"/>
                <w:b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lastRenderedPageBreak/>
              <w:t>Preguntas para la reflexión</w:t>
            </w:r>
          </w:p>
        </w:tc>
      </w:tr>
      <w:tr w:rsidR="004F3E6F" w:rsidTr="00C60E9C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:rsidR="004F3E6F" w:rsidRDefault="004F3E6F" w:rsidP="004F3E6F">
            <w:pPr>
              <w:pStyle w:val="Default"/>
              <w:rPr>
                <w:rFonts w:cs="Calibri"/>
                <w:color w:val="auto"/>
              </w:rPr>
            </w:pPr>
          </w:p>
          <w:p w:rsidR="004F3E6F" w:rsidRDefault="004F3E6F" w:rsidP="004F3E6F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¿De qué manera el concepto "¿NI-NI” refleja la invisibilidad y las dificultades de los jóvenes en situación de vulnerabilidad social, y cómo puede contribuir a la estigmatización de este grupo? </w:t>
            </w:r>
          </w:p>
          <w:p w:rsidR="004F3E6F" w:rsidRDefault="004F3E6F" w:rsidP="004F3E6F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67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4F3E6F" w:rsidRDefault="004F3E6F" w:rsidP="004F3E6F">
            <w:pPr>
              <w:spacing w:before="60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4F3E6F" w:rsidTr="00C60E9C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:rsidR="004F3E6F" w:rsidRDefault="004F3E6F" w:rsidP="004F3E6F">
            <w:pPr>
              <w:pStyle w:val="Default"/>
              <w:rPr>
                <w:rFonts w:cs="Calibri"/>
                <w:color w:val="auto"/>
              </w:rPr>
            </w:pPr>
          </w:p>
          <w:p w:rsidR="004F3E6F" w:rsidRDefault="004F3E6F" w:rsidP="004F3E6F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¿Cómo influye el contexto socioeconómico y educativo en la trayectoria de vida de los jóvenes "NI-NI" y de qué forma las políticas públicas pueden abordar estas desigualdades para mejorar sus trayectorias? </w:t>
            </w:r>
          </w:p>
          <w:p w:rsidR="004F3E6F" w:rsidRDefault="004F3E6F" w:rsidP="004F3E6F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67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4F3E6F" w:rsidRDefault="004F3E6F" w:rsidP="004F3E6F">
            <w:pPr>
              <w:spacing w:before="60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4F3E6F" w:rsidTr="00C60E9C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:rsidR="004F3E6F" w:rsidRDefault="004F3E6F" w:rsidP="004F3E6F">
            <w:pPr>
              <w:pStyle w:val="Default"/>
              <w:rPr>
                <w:rFonts w:cs="Calibri"/>
                <w:color w:val="auto"/>
              </w:rPr>
            </w:pPr>
            <w:bookmarkStart w:id="0" w:name="_Hlk183680844"/>
          </w:p>
          <w:p w:rsidR="004F3E6F" w:rsidRDefault="004F3E6F" w:rsidP="004F3E6F">
            <w:pPr>
              <w:pStyle w:val="Default"/>
              <w:rPr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¿Qué papel juegan las experiencias familiares (por ejemplo, los cuidados de personas dependientes) y los eventos externos (como enfermedades o responsabilidades laborales) en la construcción de las biografías de los jóvenes "NI-NI"? ¿Hay diferencias en función del género? </w:t>
            </w:r>
          </w:p>
          <w:p w:rsidR="004F3E6F" w:rsidRDefault="004F3E6F" w:rsidP="004F3E6F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67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4F3E6F" w:rsidRDefault="004F3E6F" w:rsidP="004F3E6F">
            <w:pPr>
              <w:spacing w:before="60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4F3E6F" w:rsidTr="00C60E9C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:rsidR="004F3E6F" w:rsidRDefault="004F3E6F" w:rsidP="004F3E6F">
            <w:pPr>
              <w:pStyle w:val="Default"/>
              <w:rPr>
                <w:rFonts w:cs="Calibri"/>
                <w:color w:val="auto"/>
              </w:rPr>
            </w:pPr>
          </w:p>
          <w:p w:rsidR="004F3E6F" w:rsidRDefault="004F3E6F" w:rsidP="004F3E6F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¿De qué manera las políticas europeas diseñadas para la inserción sociolaboral de los jóvenes pueden ser más efectivas? </w:t>
            </w:r>
          </w:p>
          <w:p w:rsidR="004F3E6F" w:rsidRDefault="004F3E6F" w:rsidP="004F3E6F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67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4F3E6F" w:rsidRDefault="004F3E6F" w:rsidP="004F3E6F">
            <w:pPr>
              <w:spacing w:before="60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bookmarkEnd w:id="0"/>
    </w:tbl>
    <w:p w:rsidR="005C6981" w:rsidRPr="005C6981" w:rsidRDefault="005C6981" w:rsidP="005C6981"/>
    <w:p w:rsidR="00364F5C" w:rsidRDefault="00364F5C">
      <w:bookmarkStart w:id="1" w:name="_GoBack"/>
      <w:bookmarkEnd w:id="1"/>
    </w:p>
    <w:sectPr w:rsidR="00364F5C">
      <w:headerReference w:type="default" r:id="rId13"/>
      <w:footerReference w:type="default" r:id="rId14"/>
      <w:pgSz w:w="11906" w:h="16838"/>
      <w:pgMar w:top="1134" w:right="1134" w:bottom="1134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0B71" w:rsidRDefault="003A0B71" w:rsidP="005C6981">
      <w:pPr>
        <w:spacing w:after="0" w:line="240" w:lineRule="auto"/>
      </w:pPr>
      <w:r>
        <w:separator/>
      </w:r>
    </w:p>
  </w:endnote>
  <w:endnote w:type="continuationSeparator" w:id="0">
    <w:p w:rsidR="003A0B71" w:rsidRDefault="003A0B71" w:rsidP="005C6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6981" w:rsidRDefault="005C6981" w:rsidP="005C6981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0B71" w:rsidRDefault="003A0B71" w:rsidP="005C6981">
      <w:pPr>
        <w:spacing w:after="0" w:line="240" w:lineRule="auto"/>
      </w:pPr>
      <w:r>
        <w:separator/>
      </w:r>
    </w:p>
  </w:footnote>
  <w:footnote w:type="continuationSeparator" w:id="0">
    <w:p w:rsidR="003A0B71" w:rsidRDefault="003A0B71" w:rsidP="005C6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8752352"/>
      <w:placeholder>
        <w:docPart w:val="8B0F2AC21CE6495EA50B7888660FA2CB"/>
      </w:placeholder>
      <w:temporary/>
      <w:showingPlcHdr/>
      <w15:appearance w15:val="hidden"/>
    </w:sdtPr>
    <w:sdtEndPr/>
    <w:sdtContent>
      <w:p w:rsidR="005C6981" w:rsidRDefault="005C6981">
        <w:pPr>
          <w:pStyle w:val="Encabezado"/>
        </w:pPr>
        <w:r>
          <w:t>[Escriba aquí]</w:t>
        </w:r>
      </w:p>
    </w:sdtContent>
  </w:sdt>
  <w:p w:rsidR="005C6981" w:rsidRDefault="005C6981" w:rsidP="005C6981">
    <w:pPr>
      <w:pStyle w:val="Encabezado"/>
      <w:jc w:val="both"/>
    </w:pPr>
    <w:r>
      <w:rPr>
        <w:noProof/>
      </w:rPr>
      <w:drawing>
        <wp:inline distT="0" distB="0" distL="0" distR="0">
          <wp:extent cx="1074420" cy="579755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OODEUROPE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623" cy="5911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</w:t>
    </w:r>
    <w:r>
      <w:rPr>
        <w:noProof/>
      </w:rPr>
      <w:drawing>
        <wp:inline distT="0" distB="0" distL="0" distR="0">
          <wp:extent cx="1112520" cy="688975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tipo-universidad-de-leon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518" cy="7038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</w:t>
    </w:r>
    <w:r>
      <w:rPr>
        <w:noProof/>
      </w:rPr>
      <w:drawing>
        <wp:inline distT="0" distB="0" distL="0" distR="0">
          <wp:extent cx="1776717" cy="372745"/>
          <wp:effectExtent l="0" t="0" r="0" b="8255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S Cofinanciado por la Unión Europea_PANTON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041" cy="3919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BE5446"/>
    <w:multiLevelType w:val="multilevel"/>
    <w:tmpl w:val="8B56D5C4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4F5C"/>
    <w:rsid w:val="00364F5C"/>
    <w:rsid w:val="003A0B71"/>
    <w:rsid w:val="004F3E6F"/>
    <w:rsid w:val="005C6981"/>
    <w:rsid w:val="00892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1A66B7"/>
  <w15:docId w15:val="{0510C697-7FCF-4219-B785-73E9FE3FC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ES" w:eastAsia="zh-CN" w:bidi="ar-SA"/>
      </w:rPr>
    </w:rPrDefault>
    <w:pPrDefault>
      <w:pPr>
        <w:spacing w:after="160" w:line="25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3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C69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6981"/>
  </w:style>
  <w:style w:type="paragraph" w:styleId="Piedepgina">
    <w:name w:val="footer"/>
    <w:basedOn w:val="Normal"/>
    <w:link w:val="PiedepginaCar"/>
    <w:uiPriority w:val="99"/>
    <w:unhideWhenUsed/>
    <w:rsid w:val="005C69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6981"/>
  </w:style>
  <w:style w:type="character" w:styleId="Hipervnculo">
    <w:name w:val="Hyperlink"/>
    <w:basedOn w:val="Fuentedeprrafopredeter"/>
    <w:uiPriority w:val="99"/>
    <w:unhideWhenUsed/>
    <w:rsid w:val="005C6981"/>
    <w:rPr>
      <w:color w:val="0000FF"/>
      <w:u w:val="single"/>
    </w:rPr>
  </w:style>
  <w:style w:type="paragraph" w:customStyle="1" w:styleId="Default">
    <w:name w:val="Default"/>
    <w:rsid w:val="004F3E6F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4F3E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paa.asu.edu/index.php/epaa/article/view/4652/2381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Nty68geQn9c" TargetMode="External"/><Relationship Id="rId12" Type="http://schemas.openxmlformats.org/officeDocument/2006/relationships/hyperlink" Target="https://elpais.com/sociedad/2023-10-25/la-ocde-alerta-de-que-la-dificil-transicion-de-los-jovenes-a-una-vida-adulta-independiente-lastra-el-potencial-de-espana.htm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scriturapublica.es/menos-ninis-y-mas-sisis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ccoo.es/0d5946985f8e8738f43384fea25cc44e000001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vistas.um.es/areas/article/view/308101/217781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B0F2AC21CE6495EA50B7888660FA2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DFA4AB-0D1C-4BCC-B475-DE4DBD857F94}"/>
      </w:docPartPr>
      <w:docPartBody>
        <w:p w:rsidR="007E6181" w:rsidRDefault="00B61C71" w:rsidP="00B61C71">
          <w:pPr>
            <w:pStyle w:val="8B0F2AC21CE6495EA50B7888660FA2CB"/>
          </w:pPr>
          <w:r>
            <w:t>[Escriba aquí]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C71"/>
    <w:rsid w:val="00217C23"/>
    <w:rsid w:val="007E6181"/>
    <w:rsid w:val="00956AD2"/>
    <w:rsid w:val="00B61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B0F2AC21CE6495EA50B7888660FA2CB">
    <w:name w:val="8B0F2AC21CE6495EA50B7888660FA2CB"/>
    <w:rsid w:val="00B61C71"/>
  </w:style>
  <w:style w:type="paragraph" w:customStyle="1" w:styleId="27F3A425432E4CBF9BC4F32357FC2470">
    <w:name w:val="27F3A425432E4CBF9BC4F32357FC2470"/>
    <w:rsid w:val="00B61C7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531</Words>
  <Characters>2925</Characters>
  <Application>Microsoft Office Word</Application>
  <DocSecurity>0</DocSecurity>
  <Lines>24</Lines>
  <Paragraphs>6</Paragraphs>
  <ScaleCrop>false</ScaleCrop>
  <Company/>
  <LinksUpToDate>false</LinksUpToDate>
  <CharactersWithSpaces>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JUAN RAMON RODRIGUEZ FERNANDEZ</cp:lastModifiedBy>
  <cp:revision>3</cp:revision>
  <dcterms:created xsi:type="dcterms:W3CDTF">2024-11-28T09:01:00Z</dcterms:created>
  <dcterms:modified xsi:type="dcterms:W3CDTF">2024-12-02T08:46:00Z</dcterms:modified>
</cp:coreProperties>
</file>